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F7060" w14:textId="4271BAC4" w:rsidR="00207C3E" w:rsidRPr="003E059E" w:rsidRDefault="00F779D5" w:rsidP="00FF4F86">
      <w:pPr>
        <w:autoSpaceDE w:val="0"/>
        <w:autoSpaceDN w:val="0"/>
        <w:adjustRightInd w:val="0"/>
        <w:rPr>
          <w:rFonts w:ascii="Arial" w:hAnsi="Arial" w:cs="Arial"/>
          <w:sz w:val="20"/>
          <w:szCs w:val="20"/>
        </w:rPr>
      </w:pPr>
      <w:r>
        <w:rPr>
          <w:rFonts w:ascii="Arial" w:hAnsi="Arial" w:cs="Arial"/>
          <w:b/>
          <w:bCs/>
          <w:sz w:val="20"/>
          <w:szCs w:val="20"/>
        </w:rPr>
        <w:t xml:space="preserve">Algemene Voorwaarden </w:t>
      </w:r>
      <w:r w:rsidR="00207C3E">
        <w:rPr>
          <w:rFonts w:ascii="Arial" w:hAnsi="Arial" w:cs="Arial"/>
          <w:b/>
          <w:bCs/>
          <w:sz w:val="20"/>
          <w:szCs w:val="20"/>
        </w:rPr>
        <w:t xml:space="preserve">- </w:t>
      </w:r>
      <w:r w:rsidR="007625F2">
        <w:rPr>
          <w:rFonts w:ascii="Arial" w:hAnsi="Arial" w:cs="Arial"/>
          <w:b/>
          <w:bCs/>
          <w:sz w:val="20"/>
          <w:szCs w:val="20"/>
        </w:rPr>
        <w:t>Fluomaniacs</w:t>
      </w:r>
      <w:bookmarkStart w:id="0" w:name="_GoBack"/>
      <w:bookmarkEnd w:id="0"/>
    </w:p>
    <w:p w14:paraId="512D2576" w14:textId="77777777" w:rsidR="007572E0" w:rsidRDefault="007572E0" w:rsidP="00FF4F86">
      <w:pPr>
        <w:pStyle w:val="Normaalweb"/>
        <w:spacing w:before="0" w:beforeAutospacing="0" w:after="0" w:afterAutospacing="0"/>
        <w:rPr>
          <w:rFonts w:ascii="Arial" w:hAnsi="Arial" w:cs="Arial"/>
          <w:sz w:val="20"/>
          <w:szCs w:val="20"/>
        </w:rPr>
      </w:pPr>
    </w:p>
    <w:p w14:paraId="15FCC2A8" w14:textId="77777777"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0942FD26" w14:textId="77777777" w:rsidR="00207C3E" w:rsidRPr="003E059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t>Artikel 2 - Identiteit van de ondernemer</w:t>
      </w:r>
    </w:p>
    <w:p w14:paraId="1E5E03EE" w14:textId="791717EB" w:rsidR="00207C3E" w:rsidRPr="003E059E" w:rsidRDefault="00DD60AC" w:rsidP="007625F2">
      <w:pPr>
        <w:autoSpaceDE w:val="0"/>
        <w:autoSpaceDN w:val="0"/>
        <w:adjustRightInd w:val="0"/>
        <w:rPr>
          <w:rFonts w:ascii="Arial" w:hAnsi="Arial" w:cs="Arial"/>
          <w:sz w:val="20"/>
          <w:szCs w:val="20"/>
        </w:rPr>
      </w:pPr>
      <w:proofErr w:type="spellStart"/>
      <w:r>
        <w:rPr>
          <w:rFonts w:ascii="Arial" w:hAnsi="Arial" w:cs="Arial"/>
          <w:sz w:val="20"/>
          <w:szCs w:val="20"/>
        </w:rPr>
        <w:t>Fluomaniacs</w:t>
      </w:r>
      <w:proofErr w:type="spellEnd"/>
      <w:r w:rsidR="00207C3E" w:rsidRPr="003E059E">
        <w:rPr>
          <w:rFonts w:ascii="Arial" w:hAnsi="Arial" w:cs="Arial"/>
          <w:sz w:val="20"/>
          <w:szCs w:val="20"/>
        </w:rPr>
        <w:t xml:space="preserve"> </w:t>
      </w:r>
      <w:r>
        <w:rPr>
          <w:rFonts w:ascii="Arial" w:hAnsi="Arial" w:cs="Arial"/>
          <w:sz w:val="20"/>
          <w:szCs w:val="20"/>
        </w:rPr>
        <w:br/>
        <w:t>Van der Pekstraat 115</w:t>
      </w:r>
      <w:r w:rsidR="00207C3E" w:rsidRPr="003E059E">
        <w:rPr>
          <w:rFonts w:ascii="Arial" w:hAnsi="Arial" w:cs="Arial"/>
          <w:sz w:val="20"/>
          <w:szCs w:val="20"/>
        </w:rPr>
        <w:t>;;</w:t>
      </w:r>
    </w:p>
    <w:p w14:paraId="17C97E75" w14:textId="540E5984" w:rsidR="00207C3E" w:rsidRPr="003E059E" w:rsidRDefault="00207C3E" w:rsidP="00DD60AC">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00DD60AC">
        <w:rPr>
          <w:rFonts w:ascii="Arial" w:hAnsi="Arial" w:cs="Arial"/>
          <w:sz w:val="20"/>
          <w:szCs w:val="20"/>
        </w:rPr>
        <w:t>0031-654318389 van 9:00-18:00</w:t>
      </w:r>
    </w:p>
    <w:p w14:paraId="2804FC70" w14:textId="21682A82" w:rsidR="00207C3E" w:rsidRPr="00DD60AC" w:rsidRDefault="00207C3E" w:rsidP="00DD60AC">
      <w:pPr>
        <w:autoSpaceDE w:val="0"/>
        <w:autoSpaceDN w:val="0"/>
        <w:adjustRightInd w:val="0"/>
        <w:rPr>
          <w:rFonts w:ascii="Arial" w:hAnsi="Arial" w:cs="Arial"/>
          <w:sz w:val="20"/>
          <w:szCs w:val="20"/>
          <w:lang w:val="en-US"/>
        </w:rPr>
      </w:pPr>
      <w:r w:rsidRPr="00DD60AC">
        <w:rPr>
          <w:rFonts w:ascii="Arial" w:hAnsi="Arial" w:cs="Arial"/>
          <w:sz w:val="20"/>
          <w:szCs w:val="20"/>
          <w:lang w:val="en-US"/>
        </w:rPr>
        <w:lastRenderedPageBreak/>
        <w:t>E-</w:t>
      </w:r>
      <w:proofErr w:type="spellStart"/>
      <w:r w:rsidRPr="00DD60AC">
        <w:rPr>
          <w:rFonts w:ascii="Arial" w:hAnsi="Arial" w:cs="Arial"/>
          <w:sz w:val="20"/>
          <w:szCs w:val="20"/>
          <w:lang w:val="en-US"/>
        </w:rPr>
        <w:t>mailadres</w:t>
      </w:r>
      <w:proofErr w:type="spellEnd"/>
      <w:r w:rsidRPr="00DD60AC">
        <w:rPr>
          <w:rFonts w:ascii="Arial" w:hAnsi="Arial" w:cs="Arial"/>
          <w:sz w:val="20"/>
          <w:szCs w:val="20"/>
          <w:lang w:val="en-US"/>
        </w:rPr>
        <w:t xml:space="preserve">: </w:t>
      </w:r>
      <w:r w:rsidR="00DD60AC" w:rsidRPr="00DD60AC">
        <w:rPr>
          <w:rFonts w:ascii="Arial" w:hAnsi="Arial" w:cs="Arial"/>
          <w:sz w:val="20"/>
          <w:szCs w:val="20"/>
          <w:lang w:val="en-US"/>
        </w:rPr>
        <w:t>info@thefablab.nl</w:t>
      </w:r>
    </w:p>
    <w:p w14:paraId="6255156C" w14:textId="343380E3" w:rsidR="00207C3E" w:rsidRPr="00DD60AC" w:rsidRDefault="00207C3E" w:rsidP="00FF4F86">
      <w:pPr>
        <w:autoSpaceDE w:val="0"/>
        <w:autoSpaceDN w:val="0"/>
        <w:adjustRightInd w:val="0"/>
        <w:rPr>
          <w:rFonts w:ascii="Arial" w:hAnsi="Arial" w:cs="Arial"/>
          <w:sz w:val="20"/>
          <w:szCs w:val="20"/>
          <w:lang w:val="en-US"/>
        </w:rPr>
      </w:pPr>
      <w:proofErr w:type="spellStart"/>
      <w:r w:rsidRPr="00DD60AC">
        <w:rPr>
          <w:rFonts w:ascii="Arial" w:hAnsi="Arial" w:cs="Arial"/>
          <w:sz w:val="20"/>
          <w:szCs w:val="20"/>
          <w:lang w:val="en-US"/>
        </w:rPr>
        <w:t>KvK-nummer</w:t>
      </w:r>
      <w:proofErr w:type="spellEnd"/>
      <w:r w:rsidRPr="00DD60AC">
        <w:rPr>
          <w:rFonts w:ascii="Arial" w:hAnsi="Arial" w:cs="Arial"/>
          <w:sz w:val="20"/>
          <w:szCs w:val="20"/>
          <w:lang w:val="en-US"/>
        </w:rPr>
        <w:t xml:space="preserve">: </w:t>
      </w:r>
      <w:r w:rsidR="00DD60AC" w:rsidRPr="00DD60AC">
        <w:rPr>
          <w:rFonts w:ascii="Arial" w:hAnsi="Arial" w:cs="Arial"/>
          <w:sz w:val="20"/>
          <w:szCs w:val="20"/>
          <w:lang w:val="en-US"/>
        </w:rPr>
        <w:t>34123729</w:t>
      </w:r>
    </w:p>
    <w:p w14:paraId="7523CE09" w14:textId="58E1755A"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DD60AC">
        <w:rPr>
          <w:rFonts w:ascii="Arial" w:hAnsi="Arial" w:cs="Arial"/>
          <w:sz w:val="20"/>
          <w:szCs w:val="20"/>
        </w:rPr>
        <w:t>NL001835008B27</w:t>
      </w:r>
    </w:p>
    <w:p w14:paraId="06DB80E9" w14:textId="77777777" w:rsidR="00DF4A59" w:rsidRPr="00A80FEE" w:rsidRDefault="00DF4A59" w:rsidP="00FF4F86">
      <w:pPr>
        <w:autoSpaceDE w:val="0"/>
        <w:autoSpaceDN w:val="0"/>
        <w:adjustRightInd w:val="0"/>
        <w:rPr>
          <w:rFonts w:ascii="Arial" w:hAnsi="Arial" w:cs="Arial"/>
          <w:sz w:val="20"/>
          <w:szCs w:val="20"/>
        </w:rPr>
      </w:pP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lastRenderedPageBreak/>
        <w:t>het bezoekadres van de vestiging van de ondernemer waar de consument met klachten terecht kan;</w:t>
      </w:r>
    </w:p>
    <w:p w14:paraId="0F3DADF1" w14:textId="6718D5F7"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FF4F86">
      <w:pPr>
        <w:rPr>
          <w:rFonts w:ascii="Arial" w:eastAsia="Times New Roman" w:hAnsi="Arial" w:cs="Arial"/>
          <w:sz w:val="20"/>
          <w:szCs w:val="20"/>
        </w:rPr>
      </w:pPr>
    </w:p>
    <w:p w14:paraId="75E4F073" w14:textId="77777777" w:rsidR="00A02452" w:rsidRPr="00A80FEE" w:rsidRDefault="00A02452" w:rsidP="00FF4F86">
      <w:pPr>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lastRenderedPageBreak/>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FF4F86">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FF4F86">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FF4F86">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FF4F86">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lastRenderedPageBreak/>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35204107" w14:textId="7BF3535C" w:rsidR="00D51A00" w:rsidRDefault="00D51A00" w:rsidP="00FF4F86">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 xml:space="preserve">De ondernemer staat er voor in dat de producten en/of diensten voldoen aan de overeenkomst, de in het aanbod vermelde specificaties, aan de redelijke eisen van deugdelijkheid en/of bruikbaarheid </w:t>
      </w:r>
      <w:r w:rsidRPr="00A80FEE">
        <w:rPr>
          <w:rFonts w:ascii="Arial" w:hAnsi="Arial" w:cs="Arial"/>
          <w:sz w:val="20"/>
          <w:szCs w:val="20"/>
        </w:rPr>
        <w:lastRenderedPageBreak/>
        <w:t>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383C61EC" w14:textId="0E8B1197" w:rsidR="008D1F86" w:rsidRPr="00A80FEE" w:rsidRDefault="008D1F86" w:rsidP="00FF4F86">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FF4F86">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F86893">
      <w:pPr>
        <w:keepNext/>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F86893">
      <w:pPr>
        <w:keepNext/>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lastRenderedPageBreak/>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FF4F86">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FF4F86">
      <w:pPr>
        <w:rPr>
          <w:rFonts w:ascii="Arial" w:eastAsia="Times New Roman" w:hAnsi="Arial" w:cs="Arial"/>
          <w:sz w:val="20"/>
          <w:szCs w:val="20"/>
        </w:rPr>
      </w:pPr>
    </w:p>
    <w:p w14:paraId="647D0C99" w14:textId="7AC86FB0"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5EBBDC95" w14:textId="7FA523D8"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 xml:space="preserve">Artikel 16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75AB0986"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t xml:space="preserve">Artikel 17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3D6AD83F"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3C54FD">
        <w:rPr>
          <w:rFonts w:ascii="Arial" w:eastAsia="Times New Roman" w:hAnsi="Arial" w:cs="Arial"/>
          <w:b/>
          <w:sz w:val="20"/>
          <w:szCs w:val="20"/>
        </w:rPr>
        <w:t>8</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Normaalweb"/>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pPr>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73C1DA6C" w:rsidR="00C813A2" w:rsidRPr="00A80FEE" w:rsidRDefault="00C813A2" w:rsidP="00E573A5">
      <w:pPr>
        <w:pStyle w:val="Normaalweb"/>
        <w:numPr>
          <w:ilvl w:val="0"/>
          <w:numId w:val="4"/>
        </w:numPr>
        <w:spacing w:before="0" w:beforeAutospacing="0" w:after="0" w:afterAutospacing="0"/>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r>
      <w:proofErr w:type="spellStart"/>
      <w:r w:rsidR="00E573A5">
        <w:rPr>
          <w:rStyle w:val="Zwaar"/>
          <w:rFonts w:ascii="Arial" w:hAnsi="Arial" w:cs="Arial"/>
          <w:b w:val="0"/>
          <w:sz w:val="20"/>
          <w:szCs w:val="20"/>
        </w:rPr>
        <w:t>Fluomaniacs</w:t>
      </w:r>
      <w:proofErr w:type="spellEnd"/>
    </w:p>
    <w:p w14:paraId="6114ED3E" w14:textId="346D8E05" w:rsidR="00C813A2" w:rsidRPr="00A80FEE" w:rsidRDefault="00E573A5" w:rsidP="00FF4F86">
      <w:pPr>
        <w:pStyle w:val="Normaalweb"/>
        <w:ind w:left="1416"/>
        <w:rPr>
          <w:rStyle w:val="Zwaar"/>
          <w:rFonts w:ascii="Arial" w:hAnsi="Arial" w:cs="Arial"/>
          <w:b w:val="0"/>
          <w:bCs w:val="0"/>
          <w:sz w:val="20"/>
          <w:szCs w:val="20"/>
        </w:rPr>
      </w:pPr>
      <w:r>
        <w:rPr>
          <w:rStyle w:val="Zwaar"/>
          <w:rFonts w:ascii="Arial" w:hAnsi="Arial" w:cs="Arial"/>
          <w:b w:val="0"/>
          <w:bCs w:val="0"/>
          <w:sz w:val="20"/>
          <w:szCs w:val="20"/>
        </w:rPr>
        <w:t xml:space="preserve">Van der Pekstraat 115, </w:t>
      </w:r>
      <w:r>
        <w:rPr>
          <w:rStyle w:val="Zwaar"/>
          <w:rFonts w:ascii="Arial" w:hAnsi="Arial" w:cs="Arial"/>
          <w:b w:val="0"/>
          <w:bCs w:val="0"/>
          <w:sz w:val="20"/>
          <w:szCs w:val="20"/>
        </w:rPr>
        <w:br/>
      </w:r>
      <w:r>
        <w:rPr>
          <w:rStyle w:val="Zwaar"/>
          <w:rFonts w:ascii="Arial" w:hAnsi="Arial" w:cs="Arial"/>
          <w:b w:val="0"/>
          <w:bCs w:val="0"/>
          <w:sz w:val="20"/>
          <w:szCs w:val="20"/>
        </w:rPr>
        <w:br/>
        <w:t>1031CW Amsterdam</w:t>
      </w:r>
      <w:r>
        <w:rPr>
          <w:rStyle w:val="Zwaar"/>
          <w:rFonts w:ascii="Arial" w:hAnsi="Arial" w:cs="Arial"/>
          <w:b w:val="0"/>
          <w:bCs w:val="0"/>
          <w:sz w:val="20"/>
          <w:szCs w:val="20"/>
        </w:rPr>
        <w:br/>
      </w:r>
      <w:r>
        <w:rPr>
          <w:rStyle w:val="Zwaar"/>
          <w:rFonts w:ascii="Arial" w:hAnsi="Arial" w:cs="Arial"/>
          <w:b w:val="0"/>
          <w:bCs w:val="0"/>
          <w:sz w:val="20"/>
          <w:szCs w:val="20"/>
        </w:rPr>
        <w:br/>
        <w:t>Info@thefablab.bl</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BEF0C" w14:textId="77777777" w:rsidR="00833A5C" w:rsidRDefault="00833A5C" w:rsidP="00D76227">
      <w:r>
        <w:separator/>
      </w:r>
    </w:p>
  </w:endnote>
  <w:endnote w:type="continuationSeparator" w:id="0">
    <w:p w14:paraId="3CDF3644" w14:textId="77777777" w:rsidR="00833A5C" w:rsidRDefault="00833A5C"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51CE" w14:textId="77777777" w:rsidR="00D76227" w:rsidRDefault="00D762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3C0" w14:textId="77777777" w:rsidR="00D76227" w:rsidRDefault="00D762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AAA7" w14:textId="77777777" w:rsidR="00D76227" w:rsidRDefault="00D762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1E491" w14:textId="77777777" w:rsidR="00833A5C" w:rsidRDefault="00833A5C" w:rsidP="00D76227">
      <w:r>
        <w:separator/>
      </w:r>
    </w:p>
  </w:footnote>
  <w:footnote w:type="continuationSeparator" w:id="0">
    <w:p w14:paraId="78AD9A95" w14:textId="77777777" w:rsidR="00833A5C" w:rsidRDefault="00833A5C" w:rsidP="00D76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FBFF" w14:textId="77777777" w:rsidR="00D76227" w:rsidRDefault="00D762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6C1D" w14:textId="77777777" w:rsidR="00D76227" w:rsidRDefault="00D7622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A26F" w14:textId="77777777" w:rsidR="00D76227" w:rsidRDefault="00D7622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625F2"/>
    <w:rsid w:val="007721CD"/>
    <w:rsid w:val="00796A1C"/>
    <w:rsid w:val="007A4285"/>
    <w:rsid w:val="007B1C74"/>
    <w:rsid w:val="007B77F8"/>
    <w:rsid w:val="007D5E8C"/>
    <w:rsid w:val="007E0C51"/>
    <w:rsid w:val="007F2B2B"/>
    <w:rsid w:val="007F6635"/>
    <w:rsid w:val="00801BA7"/>
    <w:rsid w:val="00827F87"/>
    <w:rsid w:val="00830D55"/>
    <w:rsid w:val="00833A5C"/>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0AC"/>
    <w:rsid w:val="00DD666E"/>
    <w:rsid w:val="00DE1ABE"/>
    <w:rsid w:val="00DE212D"/>
    <w:rsid w:val="00DF4A59"/>
    <w:rsid w:val="00E26F51"/>
    <w:rsid w:val="00E30BEA"/>
    <w:rsid w:val="00E311F0"/>
    <w:rsid w:val="00E312C1"/>
    <w:rsid w:val="00E44BE2"/>
    <w:rsid w:val="00E4602D"/>
    <w:rsid w:val="00E46BB0"/>
    <w:rsid w:val="00E573A5"/>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9E14-8DCE-4D21-8C3E-C7DFBEF0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4495</Words>
  <Characters>24728</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29165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manita loekemeijer</cp:lastModifiedBy>
  <cp:revision>3</cp:revision>
  <cp:lastPrinted>2014-04-23T11:48:00Z</cp:lastPrinted>
  <dcterms:created xsi:type="dcterms:W3CDTF">2020-01-30T14:56:00Z</dcterms:created>
  <dcterms:modified xsi:type="dcterms:W3CDTF">2020-01-30T14:59:00Z</dcterms:modified>
</cp:coreProperties>
</file>